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jc w:val="center"/>
        <w:rPr>
          <w:rFonts w:hint="eastAsia" w:ascii="FZXiaoBiaoSong-B05S" w:hAnsi="SimSun" w:eastAsia="FZXiaoBiaoSong-B05S"/>
          <w:sz w:val="44"/>
          <w:szCs w:val="44"/>
          <w:lang w:eastAsia="zh-CN"/>
        </w:rPr>
      </w:pPr>
      <w:r>
        <w:rPr>
          <w:rFonts w:hint="eastAsia" w:ascii="FZXiaoBiaoSong-B05S" w:hAnsi="SimSun" w:eastAsia="FZXiaoBiaoSong-B05S"/>
          <w:sz w:val="44"/>
          <w:szCs w:val="44"/>
          <w:lang w:eastAsia="zh-CN"/>
        </w:rPr>
        <w:t>峨边彝族自治县教育局</w:t>
      </w:r>
    </w:p>
    <w:p>
      <w:pPr>
        <w:pStyle w:val="8"/>
        <w:spacing w:line="600" w:lineRule="exact"/>
        <w:jc w:val="center"/>
        <w:rPr>
          <w:rFonts w:ascii="FZXiaoBiaoSong-B05S" w:hAnsi="SimSun" w:eastAsia="FZXiaoBiaoSong-B05S"/>
          <w:sz w:val="44"/>
          <w:szCs w:val="44"/>
        </w:rPr>
      </w:pPr>
      <w:r>
        <w:rPr>
          <w:rFonts w:hint="eastAsia" w:ascii="FZXiaoBiaoSong-B05S" w:hAnsi="SimSun" w:eastAsia="FZXiaoBiaoSong-B05S"/>
          <w:sz w:val="44"/>
          <w:szCs w:val="44"/>
          <w:lang w:eastAsia="zh-CN"/>
        </w:rPr>
        <w:t>营养餐</w:t>
      </w:r>
      <w:r>
        <w:rPr>
          <w:rFonts w:hint="eastAsia" w:ascii="FZXiaoBiaoSong-B05S" w:hAnsi="SimSun" w:eastAsia="FZXiaoBiaoSong-B05S"/>
          <w:sz w:val="44"/>
          <w:szCs w:val="44"/>
        </w:rPr>
        <w:t>项目支出绩效自评报告范本</w:t>
      </w:r>
    </w:p>
    <w:p>
      <w:pPr>
        <w:adjustRightInd w:val="0"/>
        <w:snapToGrid w:val="0"/>
        <w:spacing w:line="600" w:lineRule="exact"/>
        <w:ind w:firstLine="720"/>
        <w:jc w:val="center"/>
        <w:rPr>
          <w:rFonts w:hint="eastAsia" w:ascii="SimHei" w:hAnsi="SimSun" w:eastAsia="SimHei"/>
          <w:lang w:val="en-US" w:eastAsia="zh-CN"/>
        </w:rPr>
      </w:pPr>
      <w:r>
        <w:rPr>
          <w:rFonts w:hint="eastAsia" w:ascii="SimHei" w:hAnsi="SimSun" w:eastAsia="SimHei"/>
          <w:lang w:eastAsia="zh-CN"/>
        </w:rPr>
        <w:t>（</w:t>
      </w:r>
      <w:r>
        <w:rPr>
          <w:rFonts w:hint="eastAsia" w:ascii="SimHei" w:hAnsi="SimSun" w:eastAsia="SimHei"/>
        </w:rPr>
        <w:t>峨边中职学生“9+3”待遇补助</w:t>
      </w:r>
      <w:r>
        <w:rPr>
          <w:rFonts w:hint="eastAsia" w:ascii="SimHei" w:hAnsi="SimSun" w:eastAsia="SimHei"/>
          <w:lang w:val="en-US" w:eastAsia="zh-CN"/>
        </w:rPr>
        <w:t>+精准扶贫建卡贫困户中职学生生活补助+精准扶贫建卡贫困户大学生资助）</w:t>
      </w:r>
    </w:p>
    <w:p>
      <w:pPr>
        <w:adjustRightInd w:val="0"/>
        <w:snapToGrid w:val="0"/>
        <w:spacing w:line="600" w:lineRule="exact"/>
        <w:ind w:firstLine="720"/>
        <w:rPr>
          <w:rFonts w:ascii="SimHei" w:hAnsi="SimSun" w:eastAsia="SimHei"/>
          <w:lang w:val="zh-CN"/>
        </w:rPr>
      </w:pPr>
      <w:r>
        <w:rPr>
          <w:rFonts w:hint="eastAsia" w:ascii="SimHei" w:hAnsi="SimSun" w:eastAsia="SimHei"/>
        </w:rPr>
        <w:t>一、</w:t>
      </w:r>
      <w:r>
        <w:rPr>
          <w:rFonts w:hint="eastAsia" w:ascii="SimHei" w:hAnsi="SimSun" w:eastAsia="SimHei"/>
          <w:lang w:val="zh-CN"/>
        </w:rPr>
        <w:t>项目概况</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（一）项目基本情况。</w:t>
      </w:r>
    </w:p>
    <w:p>
      <w:pPr>
        <w:adjustRightInd w:val="0"/>
        <w:snapToGrid w:val="0"/>
        <w:spacing w:line="600" w:lineRule="exact"/>
        <w:ind w:left="320" w:leftChars="100" w:firstLine="400" w:firstLineChars="125"/>
        <w:rPr>
          <w:rFonts w:hint="eastAsia" w:ascii="FangSong_GB2312" w:hAnsi="SimSun"/>
          <w:lang w:val="zh-CN"/>
        </w:rPr>
      </w:pPr>
      <w:r>
        <w:rPr>
          <w:rFonts w:hint="eastAsia" w:ascii="FangSong_GB2312" w:hAnsi="SimSun"/>
          <w:lang w:val="zh-CN"/>
        </w:rPr>
        <w:t>1．说明项目主管部门（单位）在该项目管理中的职能。</w:t>
      </w:r>
    </w:p>
    <w:p>
      <w:pPr>
        <w:adjustRightInd w:val="0"/>
        <w:snapToGrid w:val="0"/>
        <w:spacing w:line="600" w:lineRule="exact"/>
        <w:ind w:firstLine="640" w:firstLineChars="200"/>
        <w:rPr>
          <w:rFonts w:hint="eastAsia" w:ascii="FangSong_GB2312" w:hAnsi="SimSun"/>
          <w:szCs w:val="32"/>
          <w:lang w:val="zh-CN"/>
        </w:rPr>
      </w:pPr>
      <w:r>
        <w:rPr>
          <w:rFonts w:hint="eastAsia" w:ascii="FangSong_GB2312" w:hAnsi="SimSun"/>
          <w:szCs w:val="32"/>
          <w:lang w:val="zh-CN"/>
        </w:rPr>
        <w:t>负责村幼辅导员及代课教师生活补助、</w:t>
      </w:r>
      <w:r>
        <w:rPr>
          <w:rFonts w:hint="eastAsia" w:ascii="FangSong_GB2312" w:hAnsi="SimSun"/>
          <w:szCs w:val="32"/>
          <w:lang w:val="zh-CN" w:eastAsia="zh-CN"/>
        </w:rPr>
        <w:t>义务教育免作业本费、高中国家助学金</w:t>
      </w:r>
      <w:r>
        <w:rPr>
          <w:rFonts w:hint="eastAsia" w:ascii="FangSong_GB2312" w:hAnsi="SimSun"/>
          <w:szCs w:val="32"/>
          <w:lang w:val="zh-CN"/>
        </w:rPr>
        <w:t>的预算方案和资金拨付，</w:t>
      </w:r>
    </w:p>
    <w:p>
      <w:pPr>
        <w:numPr>
          <w:ilvl w:val="0"/>
          <w:numId w:val="1"/>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项目立项、资金申报的依据。资金管理办法制定情况，资金支持具体项目的条件、范围与支持方式概况。根据《峨边彝族自治县人民政府办公室关于职业高级中学校（职教中心）2014年秋季招生工作的实施意见》（峨边府〔2014〕33号）及《四川省教育厅关于做好2014年大小凉山彝区“9+3”免费教育计划招生宣传工作的通知》（川教函〔2014〕303号）文件精神，峨边职中学生在国家助学金补助一、二年级每生每年2000元、三年级每生每年1000元的基础上应由市县财政（1：3）（乐市财政教〔201</w:t>
      </w:r>
      <w:r>
        <w:rPr>
          <w:rFonts w:hint="eastAsia" w:ascii="FangSong_GB2312" w:hAnsi="SimSun" w:eastAsia="SimSun"/>
          <w:lang w:val="en-US" w:eastAsia="zh-CN"/>
        </w:rPr>
        <w:t>7</w:t>
      </w:r>
      <w:bookmarkStart w:id="0" w:name="_GoBack"/>
      <w:bookmarkEnd w:id="0"/>
      <w:r>
        <w:rPr>
          <w:rFonts w:hint="eastAsia" w:ascii="FangSong_GB2312" w:hAnsi="SimSun"/>
          <w:lang w:val="zh-CN"/>
        </w:rPr>
        <w:t>〕19号），《乐山市基本公共服务领域市与县共同财政事权和支出责任划分改革方案》（乐府办发〔2020〕8号）目前执行标准扣除中央、省级承担部分、其余资金按照隶属关系由同级财政承担。</w:t>
      </w:r>
    </w:p>
    <w:p>
      <w:pPr>
        <w:pStyle w:val="2"/>
        <w:rPr>
          <w:rFonts w:hint="eastAsia" w:ascii="FangSong_GB2312" w:hAnsi="SimSun" w:eastAsia="FangSong_GB2312" w:cs="Times New Roman"/>
          <w:color w:val="auto"/>
          <w:kern w:val="2"/>
          <w:sz w:val="32"/>
          <w:szCs w:val="32"/>
          <w:lang w:val="en-US" w:eastAsia="zh-CN" w:bidi="ar-SA"/>
        </w:rPr>
      </w:pPr>
      <w:r>
        <w:rPr>
          <w:rFonts w:hint="eastAsia" w:ascii="FangSong_GB2312" w:hAnsi="SimSun"/>
          <w:lang w:val="en-US" w:eastAsia="zh-CN"/>
        </w:rPr>
        <w:t xml:space="preserve">   </w:t>
      </w:r>
      <w:r>
        <w:rPr>
          <w:rFonts w:hint="eastAsia" w:ascii="FangSong_GB2312" w:hAnsi="SimSun" w:eastAsia="FangSong_GB2312" w:cs="Times New Roman"/>
          <w:color w:val="auto"/>
          <w:kern w:val="2"/>
          <w:sz w:val="32"/>
          <w:szCs w:val="32"/>
          <w:lang w:val="en-US" w:eastAsia="zh-CN" w:bidi="ar-SA"/>
        </w:rPr>
        <w:t xml:space="preserve">  根据《四川省教育与就业扶贫专项方案》精神，从2016年秋季学期起，对建卡贫困户中职学生在发放中职助学金的基础上再给予每生每期500元（全年1000元）的生活补助，所需经费由省财政分担60%，县级财政分担40%。预计2022年有建卡贫困户中职学生700人，县级财政分担28万元。</w:t>
      </w:r>
    </w:p>
    <w:p>
      <w:pPr>
        <w:pStyle w:val="2"/>
        <w:ind w:firstLine="640" w:firstLineChars="200"/>
        <w:rPr>
          <w:rFonts w:hint="default" w:ascii="FangSong_GB2312" w:hAnsi="SimSun" w:eastAsia="FangSong_GB2312" w:cs="Times New Roman"/>
          <w:color w:val="auto"/>
          <w:kern w:val="2"/>
          <w:sz w:val="32"/>
          <w:szCs w:val="32"/>
          <w:lang w:val="en-US" w:eastAsia="zh-CN" w:bidi="ar-SA"/>
        </w:rPr>
      </w:pPr>
      <w:r>
        <w:rPr>
          <w:rFonts w:hint="eastAsia" w:ascii="FangSong_GB2312" w:hAnsi="SimSun" w:eastAsia="FangSong_GB2312" w:cs="Times New Roman"/>
          <w:color w:val="auto"/>
          <w:kern w:val="2"/>
          <w:sz w:val="32"/>
          <w:szCs w:val="32"/>
          <w:lang w:val="en-US" w:eastAsia="zh-CN" w:bidi="ar-SA"/>
        </w:rPr>
        <w:t>根据川教函〔2016〕277号文、《四川省教育与就业扶贫专项方案》精神，从2016年秋季学期起，对建卡贫困户新入学的大学生按每生每学年4000元（每学期2000元）的标准给予资助，连续资助直到学业结束。所需资金由省财政分担60%，县级财政分担40%</w:t>
      </w:r>
    </w:p>
    <w:p>
      <w:pPr>
        <w:numPr>
          <w:ilvl w:val="0"/>
          <w:numId w:val="0"/>
        </w:numPr>
        <w:adjustRightInd w:val="0"/>
        <w:snapToGrid w:val="0"/>
        <w:spacing w:line="600" w:lineRule="exact"/>
        <w:ind w:firstLine="640" w:firstLineChars="200"/>
        <w:rPr>
          <w:rFonts w:hint="eastAsia" w:ascii="FangSong_GB2312" w:hAnsi="SimSun"/>
          <w:szCs w:val="32"/>
          <w:lang w:val="zh-CN"/>
        </w:rPr>
      </w:pPr>
      <w:r>
        <w:rPr>
          <w:rFonts w:hint="eastAsia" w:ascii="FangSong_GB2312" w:hAnsi="SimSun"/>
          <w:szCs w:val="32"/>
          <w:lang w:val="en-US" w:eastAsia="zh-CN"/>
        </w:rPr>
        <w:t>4.</w:t>
      </w:r>
      <w:r>
        <w:rPr>
          <w:rFonts w:hint="eastAsia" w:ascii="FangSong_GB2312" w:hAnsi="SimSun"/>
          <w:szCs w:val="32"/>
          <w:lang w:val="zh-CN"/>
        </w:rPr>
        <w:t>教育局制定了“三重一大”实施细则，内控制度，对项目资金进行专账核算。根据公示无异议的实际金额，按实向财政申请到零余额户，以转账方式支付到供应商账户，不以任何借口以现金形式发放。</w:t>
      </w:r>
    </w:p>
    <w:p>
      <w:pPr>
        <w:numPr>
          <w:ilvl w:val="0"/>
          <w:numId w:val="1"/>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资金分配的原则及考虑因素。</w:t>
      </w:r>
    </w:p>
    <w:p>
      <w:pPr>
        <w:numPr>
          <w:ilvl w:val="0"/>
          <w:numId w:val="1"/>
        </w:numPr>
        <w:adjustRightInd w:val="0"/>
        <w:snapToGrid w:val="0"/>
        <w:spacing w:line="600" w:lineRule="exact"/>
        <w:ind w:left="0" w:leftChars="0" w:firstLine="720" w:firstLineChars="0"/>
        <w:rPr>
          <w:rFonts w:ascii="KaiTi_GB2312" w:hAnsi="SimSun" w:eastAsia="KaiTi_GB2312"/>
          <w:b/>
          <w:lang w:val="zh-CN"/>
        </w:rPr>
      </w:pPr>
      <w:r>
        <w:rPr>
          <w:rFonts w:hint="eastAsia" w:ascii="KaiTi_GB2312" w:hAnsi="SimSun" w:eastAsia="KaiTi_GB2312"/>
          <w:b/>
          <w:lang w:val="zh-CN"/>
        </w:rPr>
        <w:t>（二）项目绩效目标。</w:t>
      </w:r>
    </w:p>
    <w:p>
      <w:pPr>
        <w:numPr>
          <w:ilvl w:val="0"/>
          <w:numId w:val="2"/>
        </w:numPr>
        <w:adjustRightInd w:val="0"/>
        <w:snapToGrid w:val="0"/>
        <w:spacing w:line="600" w:lineRule="exact"/>
        <w:ind w:firstLine="720"/>
        <w:rPr>
          <w:rFonts w:hint="eastAsia" w:ascii="FangSong_GB2312" w:hAnsi="SimSun"/>
          <w:lang w:val="zh-CN"/>
        </w:rPr>
      </w:pPr>
      <w:r>
        <w:rPr>
          <w:rFonts w:hint="eastAsia" w:ascii="FangSong_GB2312" w:hAnsi="SimSun"/>
          <w:lang w:val="zh-CN"/>
        </w:rPr>
        <w:t>项目主要内容。</w:t>
      </w:r>
    </w:p>
    <w:p>
      <w:pPr>
        <w:numPr>
          <w:ilvl w:val="0"/>
          <w:numId w:val="2"/>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项目应实现的具体绩效目标，包括目标的量化、细化情况以及项目实施进度计划等。</w:t>
      </w:r>
    </w:p>
    <w:p>
      <w:pPr>
        <w:numPr>
          <w:ilvl w:val="0"/>
          <w:numId w:val="0"/>
        </w:numPr>
        <w:adjustRightInd w:val="0"/>
        <w:snapToGrid w:val="0"/>
        <w:spacing w:line="600" w:lineRule="exact"/>
        <w:ind w:left="720" w:leftChars="0"/>
        <w:rPr>
          <w:rFonts w:ascii="FangSong_GB2312" w:hAnsi="SimSun"/>
          <w:lang w:val="zh-CN"/>
        </w:rPr>
      </w:pPr>
      <w:r>
        <w:rPr>
          <w:rFonts w:hint="eastAsia" w:ascii="FangSong_GB2312" w:hAnsi="SimSun"/>
          <w:lang w:val="zh-CN"/>
        </w:rPr>
        <w:t>3．分析评价申报内容是否与实际相符，申报目标是否合理可行。</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（三）项目自评步骤及方法。</w:t>
      </w:r>
    </w:p>
    <w:p>
      <w:pPr>
        <w:adjustRightInd w:val="0"/>
        <w:snapToGrid w:val="0"/>
        <w:spacing w:line="600" w:lineRule="exact"/>
        <w:ind w:firstLine="720"/>
        <w:rPr>
          <w:rFonts w:hint="eastAsia" w:ascii="FangSong_GB2312" w:hAnsi="SimSun"/>
          <w:szCs w:val="32"/>
          <w:lang w:val="zh-CN"/>
        </w:rPr>
      </w:pPr>
      <w:r>
        <w:rPr>
          <w:rFonts w:hint="eastAsia" w:ascii="FangSong_GB2312" w:hAnsi="SimSun"/>
          <w:lang w:val="zh-CN"/>
        </w:rPr>
        <w:t>说明项目绩效自评采用的组织实施步骤及方法。</w:t>
      </w:r>
      <w:r>
        <w:rPr>
          <w:rFonts w:hint="eastAsia" w:ascii="FangSong_GB2312" w:hAnsi="SimSun"/>
          <w:szCs w:val="32"/>
          <w:lang w:val="zh-CN"/>
        </w:rPr>
        <w:t>成立了绩效评价工作小组，制定了实施方案。</w:t>
      </w:r>
      <w:r>
        <w:rPr>
          <w:rFonts w:hint="eastAsia" w:ascii="FangSong_GB2312" w:hAnsi="SimSun"/>
          <w:szCs w:val="32"/>
        </w:rPr>
        <w:t>通过查看资料、询问学生、走访家长等形式进行自评。</w:t>
      </w:r>
    </w:p>
    <w:p>
      <w:pPr>
        <w:adjustRightInd w:val="0"/>
        <w:snapToGrid w:val="0"/>
        <w:spacing w:line="600" w:lineRule="exact"/>
        <w:ind w:firstLine="720"/>
        <w:rPr>
          <w:rFonts w:ascii="SimHei" w:hAnsi="SimSun" w:eastAsia="SimHei"/>
        </w:rPr>
      </w:pPr>
      <w:r>
        <w:rPr>
          <w:rFonts w:hint="eastAsia" w:ascii="SimHei" w:hAnsi="SimSun" w:eastAsia="SimHei"/>
        </w:rPr>
        <w:t>二、项目资金申报及使用情况</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（一）项目资金申报及批复情况。</w:t>
      </w:r>
    </w:p>
    <w:p>
      <w:pPr>
        <w:adjustRightInd w:val="0"/>
        <w:snapToGrid w:val="0"/>
        <w:spacing w:line="600" w:lineRule="exact"/>
        <w:ind w:firstLine="720"/>
        <w:rPr>
          <w:rFonts w:hint="eastAsia" w:ascii="FangSong_GB2312" w:hAnsi="SimSun"/>
          <w:szCs w:val="32"/>
          <w:lang w:val="zh-CN"/>
        </w:rPr>
      </w:pPr>
      <w:r>
        <w:rPr>
          <w:rFonts w:hint="eastAsia" w:ascii="FangSong_GB2312" w:hAnsi="SimSun"/>
          <w:lang w:val="zh-CN"/>
        </w:rPr>
        <w:t>说明项目资金申报、批复及预算调整等程序的相关情况。</w:t>
      </w:r>
      <w:r>
        <w:rPr>
          <w:rFonts w:hint="eastAsia" w:ascii="FangSong_GB2312" w:hAnsi="SimSun"/>
          <w:szCs w:val="32"/>
          <w:lang w:val="zh-CN"/>
        </w:rPr>
        <w:t>通过年初部门预算纳入财政预算，每月向财政申报用款计划，财政批准后，将资金下达到零余额账户。</w:t>
      </w:r>
    </w:p>
    <w:p>
      <w:pPr>
        <w:adjustRightInd w:val="0"/>
        <w:snapToGrid w:val="0"/>
        <w:spacing w:line="600" w:lineRule="exact"/>
        <w:ind w:firstLine="720"/>
        <w:rPr>
          <w:rFonts w:ascii="FangSong_GB2312" w:hAnsi="SimSun"/>
          <w:lang w:val="zh-CN"/>
        </w:rPr>
      </w:pPr>
      <w:r>
        <w:rPr>
          <w:rFonts w:hint="eastAsia" w:ascii="KaiTi_GB2312" w:hAnsi="SimSun" w:eastAsia="KaiTi_GB2312"/>
          <w:b/>
          <w:lang w:val="zh-CN"/>
        </w:rPr>
        <w:t>（二）资金计划、到位及使用情况。</w:t>
      </w:r>
    </w:p>
    <w:p>
      <w:pPr>
        <w:adjustRightInd w:val="0"/>
        <w:snapToGrid w:val="0"/>
        <w:spacing w:line="600" w:lineRule="exact"/>
        <w:ind w:firstLine="720"/>
        <w:rPr>
          <w:rFonts w:hint="default" w:ascii="FangSong_GB2312" w:hAnsi="SimSun"/>
          <w:szCs w:val="32"/>
          <w:lang w:val="en-US" w:eastAsia="zh-CN"/>
        </w:rPr>
      </w:pPr>
      <w:r>
        <w:rPr>
          <w:rFonts w:hint="eastAsia" w:ascii="KaiTi_GB2312" w:hAnsi="SimSun" w:eastAsia="KaiTi_GB2312"/>
          <w:lang w:val="zh-CN"/>
        </w:rPr>
        <w:t>1．资金计划。</w:t>
      </w:r>
      <w:r>
        <w:rPr>
          <w:rFonts w:hint="eastAsia" w:ascii="FangSong_GB2312" w:hAnsi="SimSun"/>
          <w:szCs w:val="32"/>
          <w:lang w:val="zh-CN"/>
        </w:rPr>
        <w:t>资金计划</w:t>
      </w:r>
      <w:r>
        <w:rPr>
          <w:rFonts w:hint="eastAsia" w:ascii="FangSong_GB2312" w:hAnsi="SimSun"/>
          <w:szCs w:val="32"/>
          <w:lang w:val="en-US" w:eastAsia="zh-CN"/>
        </w:rPr>
        <w:t>91.62</w:t>
      </w:r>
      <w:r>
        <w:rPr>
          <w:rFonts w:hint="eastAsia" w:ascii="FangSong_GB2312" w:hAnsi="SimSun"/>
          <w:szCs w:val="32"/>
          <w:lang w:val="zh-CN"/>
        </w:rPr>
        <w:t>万元，峨边中职学生“9+3”待遇补助</w:t>
      </w:r>
      <w:r>
        <w:rPr>
          <w:rFonts w:hint="eastAsia" w:ascii="FangSong_GB2312" w:hAnsi="SimSun"/>
          <w:szCs w:val="32"/>
          <w:lang w:val="en-US" w:eastAsia="zh-CN"/>
        </w:rPr>
        <w:t>50万元，</w:t>
      </w:r>
      <w:r>
        <w:rPr>
          <w:rFonts w:hint="eastAsia" w:ascii="FangSong_GB2312" w:hAnsi="SimSun"/>
          <w:szCs w:val="32"/>
          <w:lang w:val="zh-CN" w:eastAsia="zh-CN"/>
        </w:rPr>
        <w:t>精准扶贫建卡贫困户中职学生生活补助</w:t>
      </w:r>
      <w:r>
        <w:rPr>
          <w:rFonts w:hint="eastAsia" w:ascii="FangSong_GB2312" w:hAnsi="SimSun"/>
          <w:szCs w:val="32"/>
          <w:lang w:val="en-US" w:eastAsia="zh-CN"/>
        </w:rPr>
        <w:t>18.32万元，</w:t>
      </w:r>
      <w:r>
        <w:rPr>
          <w:rFonts w:hint="eastAsia" w:ascii="FangSong_GB2312" w:hAnsi="SimSun"/>
          <w:szCs w:val="32"/>
          <w:lang w:val="zh-CN" w:eastAsia="zh-CN"/>
        </w:rPr>
        <w:t>精准扶贫建卡贫困户大学生资助</w:t>
      </w:r>
      <w:r>
        <w:rPr>
          <w:rFonts w:hint="eastAsia" w:ascii="FangSong_GB2312" w:hAnsi="SimSun"/>
          <w:szCs w:val="32"/>
          <w:lang w:val="en-US" w:eastAsia="zh-CN"/>
        </w:rPr>
        <w:t>23.3万元。</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lang w:val="zh-CN"/>
        </w:rPr>
        <w:t>2．资金到位。</w:t>
      </w:r>
      <w:r>
        <w:rPr>
          <w:rFonts w:hint="eastAsia" w:ascii="FangSong_GB2312" w:hAnsi="SimSun"/>
          <w:szCs w:val="32"/>
          <w:lang w:val="zh-CN"/>
        </w:rPr>
        <w:t>资金到位</w:t>
      </w:r>
      <w:r>
        <w:rPr>
          <w:rFonts w:hint="eastAsia" w:ascii="FangSong_GB2312" w:hAnsi="SimSun"/>
          <w:szCs w:val="32"/>
          <w:lang w:val="en-US" w:eastAsia="zh-CN"/>
        </w:rPr>
        <w:t>91.62</w:t>
      </w:r>
      <w:r>
        <w:rPr>
          <w:rFonts w:hint="eastAsia" w:ascii="FangSong_GB2312" w:hAnsi="SimSun"/>
          <w:szCs w:val="32"/>
          <w:lang w:val="zh-CN"/>
        </w:rPr>
        <w:t>万元，到位率100%。</w:t>
      </w:r>
    </w:p>
    <w:p>
      <w:pPr>
        <w:adjustRightInd w:val="0"/>
        <w:snapToGrid w:val="0"/>
        <w:spacing w:line="600" w:lineRule="exact"/>
        <w:ind w:firstLine="720"/>
        <w:rPr>
          <w:rFonts w:hint="default" w:eastAsia="FangSong_GB2312"/>
          <w:lang w:val="en-US" w:eastAsia="zh-CN"/>
        </w:rPr>
      </w:pPr>
      <w:r>
        <w:rPr>
          <w:rFonts w:hint="eastAsia" w:ascii="KaiTi_GB2312" w:hAnsi="SimSun" w:eastAsia="KaiTi_GB2312"/>
          <w:lang w:val="zh-CN"/>
        </w:rPr>
        <w:t>3．资金使用。</w:t>
      </w:r>
      <w:r>
        <w:rPr>
          <w:rFonts w:hint="eastAsia" w:ascii="FangSong_GB2312" w:hAnsi="SimSun"/>
          <w:lang w:val="zh-CN"/>
        </w:rPr>
        <w:t>汇总统计截至2022年</w:t>
      </w:r>
      <w:r>
        <w:rPr>
          <w:rFonts w:hint="eastAsia" w:ascii="FangSong_GB2312" w:hAnsi="SimSun"/>
          <w:lang w:val="en-US" w:eastAsia="zh-CN"/>
        </w:rPr>
        <w:t>12月31日支付合计91.62万元。</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（三）项目财务管理情况。</w:t>
      </w:r>
    </w:p>
    <w:p>
      <w:pPr>
        <w:adjustRightInd w:val="0"/>
        <w:snapToGrid w:val="0"/>
        <w:spacing w:line="600" w:lineRule="exact"/>
        <w:ind w:firstLine="720"/>
        <w:rPr>
          <w:rFonts w:hint="eastAsia" w:ascii="FangSong_GB2312" w:hAnsi="SimSun"/>
          <w:szCs w:val="32"/>
          <w:lang w:val="zh-CN"/>
        </w:rPr>
      </w:pPr>
      <w:r>
        <w:rPr>
          <w:rFonts w:hint="eastAsia" w:ascii="FangSong_GB2312" w:hAnsi="SimSun"/>
          <w:szCs w:val="32"/>
          <w:lang w:val="zh-CN"/>
        </w:rPr>
        <w:t>教育局制定了“三重一大”实施细则，内部控制制度，严格按财务制度执行。会计核算规范及时，专账核算，财务资料保存完整有序。</w:t>
      </w:r>
    </w:p>
    <w:p>
      <w:pPr>
        <w:adjustRightInd w:val="0"/>
        <w:snapToGrid w:val="0"/>
        <w:spacing w:line="600" w:lineRule="exact"/>
        <w:ind w:firstLine="720"/>
        <w:rPr>
          <w:rFonts w:ascii="SimHei" w:hAnsi="SimSun" w:eastAsia="SimHei"/>
        </w:rPr>
      </w:pPr>
      <w:r>
        <w:rPr>
          <w:rFonts w:hint="eastAsia" w:ascii="SimHei" w:hAnsi="SimSun" w:eastAsia="SimHei"/>
        </w:rPr>
        <w:t>三、项目实施及管理情况</w:t>
      </w:r>
    </w:p>
    <w:p>
      <w:pPr>
        <w:adjustRightInd w:val="0"/>
        <w:snapToGrid w:val="0"/>
        <w:spacing w:line="600" w:lineRule="exact"/>
        <w:ind w:firstLine="720"/>
        <w:rPr>
          <w:rFonts w:ascii="FangSong_GB2312" w:hAnsi="SimSun"/>
          <w:lang w:val="zh-CN"/>
        </w:rPr>
      </w:pPr>
      <w:r>
        <w:rPr>
          <w:rFonts w:hint="eastAsia" w:ascii="FangSong_GB2312" w:hAnsi="SimSun"/>
          <w:lang w:val="zh-CN"/>
        </w:rPr>
        <w:t>结合项目组织实施管理办法，重点围绕以下内容进行分析评价，并对自评中发现的问题分析说明。</w:t>
      </w:r>
    </w:p>
    <w:p>
      <w:pPr>
        <w:keepNext w:val="0"/>
        <w:keepLines w:val="0"/>
        <w:pageBreakBefore w:val="0"/>
        <w:widowControl w:val="0"/>
        <w:kinsoku/>
        <w:wordWrap/>
        <w:overflowPunct/>
        <w:topLinePunct w:val="0"/>
        <w:autoSpaceDE/>
        <w:autoSpaceDN/>
        <w:bidi w:val="0"/>
        <w:spacing w:before="120" w:after="120" w:line="600" w:lineRule="exact"/>
        <w:ind w:firstLine="643" w:firstLineChars="200"/>
        <w:textAlignment w:val="auto"/>
        <w:rPr>
          <w:rFonts w:hint="eastAsia" w:ascii="KaiTi_GB2312" w:hAnsi="SimSun" w:eastAsia="KaiTi_GB2312"/>
          <w:b/>
          <w:lang w:val="zh-CN"/>
        </w:rPr>
      </w:pPr>
      <w:r>
        <w:rPr>
          <w:rFonts w:hint="eastAsia" w:ascii="KaiTi_GB2312" w:hAnsi="SimSun" w:eastAsia="KaiTi_GB2312"/>
          <w:b/>
          <w:lang w:val="zh-CN"/>
        </w:rPr>
        <w:t>（一）项目组织架构及实施流程。</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b/>
          <w:lang w:val="zh-CN"/>
        </w:rPr>
        <w:t>（二）项目管理情况。</w:t>
      </w:r>
      <w:r>
        <w:rPr>
          <w:rFonts w:hint="eastAsia" w:ascii="FangSong_GB2312" w:hAnsi="SimSun"/>
          <w:szCs w:val="32"/>
          <w:lang w:val="zh-CN"/>
        </w:rPr>
        <w:t>通过年初部门预算纳入财政预算，每月向财政申报用款计划，财政批准后，将资金下达到零余额账户。</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b/>
          <w:lang w:val="zh-CN"/>
        </w:rPr>
        <w:t>（三）项目监管情况。</w:t>
      </w:r>
      <w:r>
        <w:rPr>
          <w:rFonts w:hint="eastAsia" w:ascii="FangSong_GB2312" w:hAnsi="SimSun"/>
          <w:szCs w:val="32"/>
          <w:lang w:val="zh-CN"/>
        </w:rPr>
        <w:t>教育局制定了“三重一大”实施细则，内控制度，对项目资金进行专账核算。根据公示无异议的实际金额，按实向财政申请到零余额户，以转账方式支付到供应商账户，不以任何借口以现金形式发放。</w:t>
      </w:r>
    </w:p>
    <w:p>
      <w:pPr>
        <w:adjustRightInd w:val="0"/>
        <w:snapToGrid w:val="0"/>
        <w:spacing w:line="600" w:lineRule="exact"/>
        <w:ind w:firstLine="720"/>
        <w:rPr>
          <w:rFonts w:ascii="FangSong_GB2312" w:hAnsi="SimSun"/>
          <w:lang w:val="zh-CN"/>
        </w:rPr>
      </w:pPr>
      <w:r>
        <w:rPr>
          <w:rFonts w:hint="eastAsia" w:ascii="SimHei" w:hAnsi="SimSun" w:eastAsia="SimHei"/>
        </w:rPr>
        <w:t>四、项目绩效情况</w:t>
      </w:r>
      <w:r>
        <w:rPr>
          <w:rFonts w:hint="eastAsia" w:ascii="FangSong_GB2312" w:hAnsi="SimSun"/>
          <w:lang w:val="zh-CN"/>
        </w:rPr>
        <w:tab/>
      </w:r>
    </w:p>
    <w:p>
      <w:pPr>
        <w:adjustRightInd w:val="0"/>
        <w:snapToGrid w:val="0"/>
        <w:spacing w:line="600" w:lineRule="exact"/>
        <w:ind w:firstLine="720"/>
        <w:rPr>
          <w:rFonts w:hint="eastAsia" w:ascii="KaiTi_GB2312" w:hAnsi="SimSun" w:eastAsia="KaiTi_GB2312"/>
          <w:b/>
          <w:lang w:val="zh-CN"/>
        </w:rPr>
      </w:pPr>
      <w:r>
        <w:rPr>
          <w:rFonts w:hint="eastAsia" w:ascii="KaiTi_GB2312" w:hAnsi="SimSun" w:eastAsia="KaiTi_GB2312"/>
          <w:b/>
          <w:lang w:val="zh-CN"/>
        </w:rPr>
        <w:t>（一）项目完成情况。</w:t>
      </w:r>
    </w:p>
    <w:p>
      <w:pPr>
        <w:adjustRightInd w:val="0"/>
        <w:snapToGrid w:val="0"/>
        <w:spacing w:line="600" w:lineRule="exact"/>
        <w:ind w:firstLine="720"/>
        <w:rPr>
          <w:rFonts w:hint="eastAsia" w:ascii="FangSong_GB2312" w:hAnsi="SimSun"/>
          <w:szCs w:val="32"/>
          <w:lang w:val="en-US" w:eastAsia="zh-CN"/>
        </w:rPr>
      </w:pPr>
      <w:r>
        <w:rPr>
          <w:rFonts w:hint="eastAsia" w:ascii="FangSong_GB2312" w:hAnsi="SimSun"/>
          <w:szCs w:val="32"/>
          <w:lang w:val="zh-CN"/>
        </w:rPr>
        <w:t>峨边中职学生“9+3”待遇补助</w:t>
      </w:r>
      <w:r>
        <w:rPr>
          <w:rFonts w:hint="eastAsia" w:ascii="FangSong_GB2312" w:hAnsi="SimSun"/>
          <w:szCs w:val="32"/>
          <w:lang w:val="en-US" w:eastAsia="zh-CN"/>
        </w:rPr>
        <w:t>50万元，</w:t>
      </w:r>
      <w:r>
        <w:rPr>
          <w:rFonts w:hint="eastAsia" w:ascii="FangSong_GB2312" w:hAnsi="SimSun"/>
          <w:szCs w:val="32"/>
          <w:lang w:val="zh-CN" w:eastAsia="zh-CN"/>
        </w:rPr>
        <w:t>精准扶贫建卡贫困户中职学生生活补助</w:t>
      </w:r>
      <w:r>
        <w:rPr>
          <w:rFonts w:hint="eastAsia" w:ascii="FangSong_GB2312" w:hAnsi="SimSun"/>
          <w:szCs w:val="32"/>
          <w:lang w:val="en-US" w:eastAsia="zh-CN"/>
        </w:rPr>
        <w:t>18.32万元，</w:t>
      </w:r>
      <w:r>
        <w:rPr>
          <w:rFonts w:hint="eastAsia" w:ascii="FangSong_GB2312" w:hAnsi="SimSun"/>
          <w:szCs w:val="32"/>
          <w:lang w:val="zh-CN" w:eastAsia="zh-CN"/>
        </w:rPr>
        <w:t>精准扶贫建卡贫困户大学生资助</w:t>
      </w:r>
      <w:r>
        <w:rPr>
          <w:rFonts w:hint="eastAsia" w:ascii="FangSong_GB2312" w:hAnsi="SimSun"/>
          <w:szCs w:val="32"/>
          <w:lang w:val="en-US" w:eastAsia="zh-CN"/>
        </w:rPr>
        <w:t>23.3万元。</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（二）项目效益情况。</w:t>
      </w:r>
    </w:p>
    <w:p>
      <w:pPr>
        <w:adjustRightInd w:val="0"/>
        <w:snapToGrid w:val="0"/>
        <w:spacing w:line="600" w:lineRule="exact"/>
        <w:ind w:firstLine="720"/>
        <w:rPr>
          <w:rFonts w:ascii="SimHei" w:hAnsi="SimSun" w:eastAsia="SimHei"/>
        </w:rPr>
      </w:pPr>
      <w:r>
        <w:rPr>
          <w:rFonts w:hint="eastAsia" w:ascii="SimHei" w:hAnsi="SimSun" w:eastAsia="SimHei"/>
        </w:rPr>
        <w:t>五、评价结论及建议</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（一）评价结论。</w:t>
      </w:r>
    </w:p>
    <w:p>
      <w:pPr>
        <w:adjustRightInd w:val="0"/>
        <w:snapToGrid w:val="0"/>
        <w:spacing w:line="600" w:lineRule="exact"/>
        <w:ind w:firstLine="720"/>
        <w:rPr>
          <w:rFonts w:hint="eastAsia" w:ascii="FangSong_GB2312" w:hAnsi="SimSun"/>
          <w:szCs w:val="32"/>
          <w:lang w:val="zh-CN"/>
        </w:rPr>
      </w:pPr>
      <w:r>
        <w:rPr>
          <w:rFonts w:hint="eastAsia" w:ascii="FangSong_GB2312" w:hAnsi="SimSun"/>
          <w:szCs w:val="32"/>
          <w:lang w:val="zh-CN"/>
        </w:rPr>
        <w:t>自评得分</w:t>
      </w:r>
      <w:r>
        <w:rPr>
          <w:rFonts w:hint="eastAsia" w:ascii="FangSong_GB2312" w:hAnsi="SimSun"/>
          <w:szCs w:val="32"/>
          <w:lang w:val="en-US" w:eastAsia="zh-CN"/>
        </w:rPr>
        <w:t>97</w:t>
      </w:r>
      <w:r>
        <w:rPr>
          <w:rFonts w:hint="eastAsia" w:ascii="FangSong_GB2312" w:hAnsi="SimSun"/>
          <w:szCs w:val="32"/>
          <w:lang w:val="zh-CN"/>
        </w:rPr>
        <w:t>分。</w:t>
      </w:r>
    </w:p>
    <w:p>
      <w:pPr>
        <w:numPr>
          <w:ilvl w:val="0"/>
          <w:numId w:val="3"/>
        </w:numPr>
        <w:adjustRightInd w:val="0"/>
        <w:snapToGrid w:val="0"/>
        <w:spacing w:line="600" w:lineRule="exact"/>
        <w:ind w:firstLine="720"/>
        <w:rPr>
          <w:rFonts w:hint="eastAsia" w:ascii="KaiTi_GB2312" w:hAnsi="SimSun" w:eastAsia="KaiTi_GB2312"/>
          <w:b/>
          <w:lang w:val="zh-CN"/>
        </w:rPr>
      </w:pPr>
      <w:r>
        <w:rPr>
          <w:rFonts w:hint="eastAsia" w:ascii="KaiTi_GB2312" w:hAnsi="SimSun" w:eastAsia="KaiTi_GB2312"/>
          <w:b/>
          <w:lang w:val="zh-CN"/>
        </w:rPr>
        <w:t>存在的问题。</w:t>
      </w:r>
    </w:p>
    <w:p>
      <w:pPr>
        <w:pStyle w:val="2"/>
        <w:numPr>
          <w:ilvl w:val="0"/>
          <w:numId w:val="0"/>
        </w:numPr>
        <w:rPr>
          <w:rFonts w:hint="default" w:ascii="Times New Roman" w:hAnsi="Times New Roman" w:eastAsia="FangSong_GB2312" w:cs="Times New Roman"/>
          <w:color w:val="auto"/>
          <w:kern w:val="2"/>
          <w:sz w:val="32"/>
          <w:szCs w:val="32"/>
          <w:lang w:val="en-US" w:eastAsia="zh-CN" w:bidi="ar-SA"/>
        </w:rPr>
      </w:pPr>
      <w:r>
        <w:rPr>
          <w:rFonts w:hint="eastAsia"/>
          <w:lang w:val="en-US" w:eastAsia="zh-CN"/>
        </w:rPr>
        <w:t xml:space="preserve">       </w:t>
      </w:r>
      <w:r>
        <w:rPr>
          <w:rFonts w:hint="eastAsia" w:ascii="Times New Roman" w:hAnsi="Times New Roman" w:eastAsia="FangSong_GB2312" w:cs="Times New Roman"/>
          <w:color w:val="auto"/>
          <w:kern w:val="2"/>
          <w:sz w:val="32"/>
          <w:szCs w:val="32"/>
          <w:lang w:val="en-US" w:eastAsia="zh-CN" w:bidi="ar-SA"/>
        </w:rPr>
        <w:t xml:space="preserve"> 无</w:t>
      </w:r>
      <w:r>
        <w:rPr>
          <w:rFonts w:hint="eastAsia" w:ascii="Times New Roman" w:eastAsia="FangSong_GB2312" w:cs="Times New Roman"/>
          <w:color w:val="auto"/>
          <w:kern w:val="2"/>
          <w:sz w:val="32"/>
          <w:szCs w:val="32"/>
          <w:lang w:val="en-US" w:eastAsia="zh-CN" w:bidi="ar-SA"/>
        </w:rPr>
        <w:t>。</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（三）相关建议。</w:t>
      </w:r>
    </w:p>
    <w:p>
      <w:pPr>
        <w:adjustRightInd w:val="0"/>
        <w:snapToGrid w:val="0"/>
        <w:spacing w:line="600" w:lineRule="exact"/>
        <w:ind w:firstLine="1040" w:firstLineChars="325"/>
      </w:pPr>
      <w:r>
        <w:rPr>
          <w:rFonts w:hint="eastAsia" w:ascii="FangSong_GB2312" w:hAnsi="SimSun"/>
          <w:szCs w:val="32"/>
          <w:lang w:val="zh-CN"/>
        </w:rPr>
        <w:t>无。</w:t>
      </w: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embedRegular r:id="rId1" w:fontKey="{AA7B23BF-44AF-458A-A6C9-9EC580F73FF1}"/>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embedRegular r:id="rId2" w:fontKey="{02CDA381-0636-408B-868B-7C184ABAC70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 w:name="FangSong_GB2312">
    <w:altName w:val="Times New Roman"/>
    <w:panose1 w:val="02010609030101010101"/>
    <w:charset w:val="86"/>
    <w:family w:val="modern"/>
    <w:pitch w:val="default"/>
    <w:sig w:usb0="00000000" w:usb1="00000000" w:usb2="00000000" w:usb3="00000000" w:csb0="00040000" w:csb1="00000000"/>
    <w:embedRegular r:id="rId3" w:fontKey="{AB87850A-7A2E-45FA-93D6-685EADDD68D6}"/>
  </w:font>
  <w:font w:name="??">
    <w:altName w:val="Times New Roman"/>
    <w:panose1 w:val="00000000000000000000"/>
    <w:charset w:val="00"/>
    <w:family w:val="roman"/>
    <w:pitch w:val="default"/>
    <w:sig w:usb0="00000000" w:usb1="00000000" w:usb2="00000000" w:usb3="00000000" w:csb0="00000000" w:csb1="00000000"/>
  </w:font>
  <w:font w:name="FZXiaoBiaoSong-B05S">
    <w:panose1 w:val="02000000000000000000"/>
    <w:charset w:val="86"/>
    <w:family w:val="script"/>
    <w:pitch w:val="default"/>
    <w:sig w:usb0="00000001" w:usb1="080E0000" w:usb2="00000000" w:usb3="00000000" w:csb0="00040000" w:csb1="00000000"/>
    <w:embedRegular r:id="rId4" w:fontKey="{E00BEB19-0073-4AD5-9A3E-80AF118C7FCE}"/>
  </w:font>
  <w:font w:name="KaiTi_GB2312">
    <w:altName w:val="KaiTi"/>
    <w:panose1 w:val="02010609030101010101"/>
    <w:charset w:val="86"/>
    <w:family w:val="modern"/>
    <w:pitch w:val="default"/>
    <w:sig w:usb0="00000000" w:usb1="00000000" w:usb2="00000000" w:usb3="00000000" w:csb0="00040000" w:csb1="00000000"/>
    <w:embedRegular r:id="rId5" w:fontKey="{5A64D5E2-400C-4051-933F-08AD378A8432}"/>
  </w:font>
  <w:font w:name="KaiTi">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7EE0"/>
    <w:multiLevelType w:val="singleLevel"/>
    <w:tmpl w:val="EA547EE0"/>
    <w:lvl w:ilvl="0" w:tentative="0">
      <w:start w:val="2"/>
      <w:numFmt w:val="chineseCounting"/>
      <w:suff w:val="nothing"/>
      <w:lvlText w:val="（%1）"/>
      <w:lvlJc w:val="left"/>
      <w:rPr>
        <w:rFonts w:hint="eastAsia"/>
      </w:rPr>
    </w:lvl>
  </w:abstractNum>
  <w:abstractNum w:abstractNumId="1">
    <w:nsid w:val="EB545F88"/>
    <w:multiLevelType w:val="singleLevel"/>
    <w:tmpl w:val="EB545F88"/>
    <w:lvl w:ilvl="0" w:tentative="0">
      <w:start w:val="1"/>
      <w:numFmt w:val="decimal"/>
      <w:suff w:val="nothing"/>
      <w:lvlText w:val="%1．"/>
      <w:lvlJc w:val="left"/>
    </w:lvl>
  </w:abstractNum>
  <w:abstractNum w:abstractNumId="2">
    <w:nsid w:val="59CD2E78"/>
    <w:multiLevelType w:val="singleLevel"/>
    <w:tmpl w:val="59CD2E78"/>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1MjFjMDUwODIwZDg4NDczZTI5ZmU1NTQ5YzljMTkifQ=="/>
  </w:docVars>
  <w:rsids>
    <w:rsidRoot w:val="291C455A"/>
    <w:rsid w:val="001B1813"/>
    <w:rsid w:val="002A5E78"/>
    <w:rsid w:val="003315AE"/>
    <w:rsid w:val="0049716B"/>
    <w:rsid w:val="006F6CE7"/>
    <w:rsid w:val="00C073E9"/>
    <w:rsid w:val="00E42B1E"/>
    <w:rsid w:val="014063FE"/>
    <w:rsid w:val="0539110D"/>
    <w:rsid w:val="063E0FBD"/>
    <w:rsid w:val="065A5B87"/>
    <w:rsid w:val="07A14D55"/>
    <w:rsid w:val="0BB62F04"/>
    <w:rsid w:val="0D466608"/>
    <w:rsid w:val="0D850CC5"/>
    <w:rsid w:val="0DF539E8"/>
    <w:rsid w:val="101F3682"/>
    <w:rsid w:val="10262C63"/>
    <w:rsid w:val="15E22711"/>
    <w:rsid w:val="16B51218"/>
    <w:rsid w:val="17852EF1"/>
    <w:rsid w:val="17CA481C"/>
    <w:rsid w:val="19B337B9"/>
    <w:rsid w:val="19B536B9"/>
    <w:rsid w:val="1BEC0B00"/>
    <w:rsid w:val="21AC0CD7"/>
    <w:rsid w:val="291C455A"/>
    <w:rsid w:val="2A502512"/>
    <w:rsid w:val="2B1A1AAD"/>
    <w:rsid w:val="2C0F5D08"/>
    <w:rsid w:val="2D732C07"/>
    <w:rsid w:val="31EF5153"/>
    <w:rsid w:val="33085D14"/>
    <w:rsid w:val="35CD4818"/>
    <w:rsid w:val="36926D0C"/>
    <w:rsid w:val="3F08595B"/>
    <w:rsid w:val="402715B4"/>
    <w:rsid w:val="40C022BF"/>
    <w:rsid w:val="414A628B"/>
    <w:rsid w:val="44412F32"/>
    <w:rsid w:val="493753AC"/>
    <w:rsid w:val="4EF179BD"/>
    <w:rsid w:val="529D3DB1"/>
    <w:rsid w:val="53B611D5"/>
    <w:rsid w:val="548F4D2F"/>
    <w:rsid w:val="56533B8E"/>
    <w:rsid w:val="5B2C0C78"/>
    <w:rsid w:val="5BBF7152"/>
    <w:rsid w:val="5D7404AA"/>
    <w:rsid w:val="5F7E4575"/>
    <w:rsid w:val="5FB7255D"/>
    <w:rsid w:val="618C277B"/>
    <w:rsid w:val="65896749"/>
    <w:rsid w:val="673E27F9"/>
    <w:rsid w:val="676B07FC"/>
    <w:rsid w:val="6EF16389"/>
    <w:rsid w:val="6F060E0B"/>
    <w:rsid w:val="6F9D176F"/>
    <w:rsid w:val="705A031B"/>
    <w:rsid w:val="720D6BF3"/>
    <w:rsid w:val="74276058"/>
    <w:rsid w:val="745F7850"/>
    <w:rsid w:val="74FD05BA"/>
    <w:rsid w:val="77493F8A"/>
    <w:rsid w:val="78D035B3"/>
    <w:rsid w:val="79016D9C"/>
    <w:rsid w:val="790E5D10"/>
    <w:rsid w:val="7B23700B"/>
    <w:rsid w:val="FFA3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FangSong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SimSun" w:hAnsi="Times New Roman" w:eastAsia="SimSun" w:cs="SimSun"/>
      <w:color w:val="000000"/>
      <w:sz w:val="24"/>
      <w:szCs w:val="24"/>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autoRedefine/>
    <w:qFormat/>
    <w:uiPriority w:val="0"/>
  </w:style>
  <w:style w:type="paragraph" w:customStyle="1" w:styleId="8">
    <w:name w:val="四号正文"/>
    <w:basedOn w:val="1"/>
    <w:autoRedefine/>
    <w:qFormat/>
    <w:uiPriority w:val="0"/>
    <w:pPr>
      <w:spacing w:line="360" w:lineRule="auto"/>
    </w:pPr>
    <w:rPr>
      <w:rFonts w:ascii="??" w:hAnsi="??" w:eastAsia="SimSun"/>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1191</Words>
  <Characters>1236</Characters>
  <Lines>9</Lines>
  <Paragraphs>2</Paragraphs>
  <TotalTime>0</TotalTime>
  <ScaleCrop>false</ScaleCrop>
  <LinksUpToDate>false</LinksUpToDate>
  <CharactersWithSpaces>1245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2020-06-30T16:19:00Z</dcterms:created>
  <dc:creator>Administrator</dc:creator>
  <cp:lastModifiedBy>碧云天</cp:lastModifiedBy>
  <cp:lastPrinted>2022-03-15T02:21:00Z</cp:lastPrinted>
  <dcterms:modified xsi:type="dcterms:W3CDTF">2024-04-08T06:36:09Z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DC64FE57DEB14DD4BC876E342C0BA8AC</vt:lpwstr>
  </property>
</Properties>
</file>